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3 (Insurance Requirements)</w:t>
      </w:r>
    </w:p>
    <w:p w:rsidR="00000000" w:rsidDel="00000000" w:rsidP="00000000" w:rsidRDefault="00000000" w:rsidRPr="00000000" w14:paraId="00000002">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The insurance you need to have</w:t>
      </w: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take out and maintain, or procure the taking out and maintenance of the insurances as set out in the Annex to this Schedule, any additional insurances required under a Call-Off Contract (specified in the applicable Order Form)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Additional Insurances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any other insurances as may be required by applicable Law (together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Insurances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 ensure that each of the Insurances is effective no later than: </w:t>
      </w:r>
    </w:p>
    <w:p w:rsidR="00000000" w:rsidDel="00000000" w:rsidP="00000000" w:rsidRDefault="00000000" w:rsidRPr="00000000" w14:paraId="0000000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Start Date in respect of those Insurances set out in the Annex to this Schedule and those required by applicable Law; and </w:t>
      </w:r>
    </w:p>
    <w:p w:rsidR="00000000" w:rsidDel="00000000" w:rsidP="00000000" w:rsidRDefault="00000000" w:rsidRPr="00000000" w14:paraId="0000000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Call-Off Contract Effective Date in respect of the Additional Insurances.</w:t>
      </w:r>
    </w:p>
    <w:p w:rsidR="00000000" w:rsidDel="00000000" w:rsidP="00000000" w:rsidRDefault="00000000" w:rsidRPr="00000000" w14:paraId="00000006">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Insurances shall be: </w:t>
      </w:r>
    </w:p>
    <w:p w:rsidR="00000000" w:rsidDel="00000000" w:rsidP="00000000" w:rsidRDefault="00000000" w:rsidRPr="00000000" w14:paraId="0000000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in accordance with Good Industry Practice; </w:t>
      </w:r>
    </w:p>
    <w:p w:rsidR="00000000" w:rsidDel="00000000" w:rsidP="00000000" w:rsidRDefault="00000000" w:rsidRPr="00000000" w14:paraId="0000000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(so far as is reasonably practicable) on terms no less favourable than those generally available to a prudent contractor in respect of risks insured in the international insurance market from time to time;</w:t>
      </w:r>
    </w:p>
    <w:p w:rsidR="00000000" w:rsidDel="00000000" w:rsidP="00000000" w:rsidRDefault="00000000" w:rsidRPr="00000000" w14:paraId="0000000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taken out and maintained with insurers of good financial standing and good repute in the international insurance market; and</w:t>
      </w:r>
    </w:p>
    <w:p w:rsidR="00000000" w:rsidDel="00000000" w:rsidP="00000000" w:rsidRDefault="00000000" w:rsidRPr="00000000" w14:paraId="0000000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for at least six (6) years after the End Date.</w:t>
      </w:r>
    </w:p>
    <w:p w:rsidR="00000000" w:rsidDel="00000000" w:rsidP="00000000" w:rsidRDefault="00000000" w:rsidRPr="00000000" w14:paraId="0000000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rsidR="00000000" w:rsidDel="00000000" w:rsidP="00000000" w:rsidRDefault="00000000" w:rsidRPr="00000000" w14:paraId="0000000C">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to manage the insurance</w:t>
      </w:r>
      <w:r w:rsidDel="00000000" w:rsidR="00000000" w:rsidRPr="00000000">
        <w:rPr>
          <w:rtl w:val="0"/>
        </w:rPr>
      </w:r>
    </w:p>
    <w:p w:rsidR="00000000" w:rsidDel="00000000" w:rsidP="00000000" w:rsidRDefault="00000000" w:rsidRPr="00000000" w14:paraId="0000000D">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limiting the other provisions of this Contract, the Supplier shall:</w:t>
      </w:r>
    </w:p>
    <w:p w:rsidR="00000000" w:rsidDel="00000000" w:rsidP="00000000" w:rsidRDefault="00000000" w:rsidRPr="00000000" w14:paraId="0000000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283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rsidR="00000000" w:rsidDel="00000000" w:rsidP="00000000" w:rsidRDefault="00000000" w:rsidRPr="00000000" w14:paraId="0000000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283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promptly notify the insurers in writing of any relevant material fact under any Insurances of which the Supplier is or becomes aware; and</w:t>
      </w:r>
    </w:p>
    <w:p w:rsidR="00000000" w:rsidDel="00000000" w:rsidP="00000000" w:rsidRDefault="00000000" w:rsidRPr="00000000" w14:paraId="0000001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283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hold all policies in respect of the Insurances and cause any insurance broker effecting the Insurances to hold any insurance slips and other evidence of placing cover representing any of the Insurances to which it is a party.</w:t>
      </w:r>
    </w:p>
    <w:p w:rsidR="00000000" w:rsidDel="00000000" w:rsidP="00000000" w:rsidRDefault="00000000" w:rsidRPr="00000000" w14:paraId="00000011">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you aren’t insured</w:t>
      </w: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take any action or fail to take any action or (insofar as is reasonably within its power) permit anything to occur in relation to it which would entitle any insurer to refuse to pay any claim under any of the Insurances.</w:t>
      </w:r>
    </w:p>
    <w:p w:rsidR="00000000" w:rsidDel="00000000" w:rsidP="00000000" w:rsidRDefault="00000000" w:rsidRPr="00000000" w14:paraId="0000001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rsidR="00000000" w:rsidDel="00000000" w:rsidP="00000000" w:rsidRDefault="00000000" w:rsidRPr="00000000" w14:paraId="00000014">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Evidence of insurance you must provide</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upon the Start Date and within 15 Working Days after the renewal of each of the Insurances, provide evidence, in a form satisfactory to the Relevant Authority, that the Insurances are in force and effect and meet in full the requirements of this Schedule.</w:t>
      </w:r>
      <w:r w:rsidDel="00000000" w:rsidR="00000000" w:rsidRPr="00000000">
        <w:rPr>
          <w:rtl w:val="0"/>
        </w:rPr>
      </w:r>
    </w:p>
    <w:p w:rsidR="00000000" w:rsidDel="00000000" w:rsidP="00000000" w:rsidRDefault="00000000" w:rsidRPr="00000000" w14:paraId="00000016">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Making sure you are insured to the required amount</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1"/>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r w:rsidDel="00000000" w:rsidR="00000000" w:rsidRPr="00000000">
        <w:rPr>
          <w:rtl w:val="0"/>
        </w:rPr>
      </w:r>
    </w:p>
    <w:p w:rsidR="00000000" w:rsidDel="00000000" w:rsidP="00000000" w:rsidRDefault="00000000" w:rsidRPr="00000000" w14:paraId="00000018">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Cancelled Insurance</w:t>
      </w:r>
      <w:r w:rsidDel="00000000" w:rsidR="00000000" w:rsidRPr="00000000">
        <w:rPr>
          <w:rtl w:val="0"/>
        </w:rPr>
      </w:r>
    </w:p>
    <w:p w:rsidR="00000000" w:rsidDel="00000000" w:rsidP="00000000" w:rsidRDefault="00000000" w:rsidRPr="00000000" w14:paraId="0000001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notify the Relevant Authority in writing at least five (5) Working Days prior to the cancellation, suspension, termination or non-renewal of any of the Insurances.</w:t>
      </w: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r w:rsidDel="00000000" w:rsidR="00000000" w:rsidRPr="00000000">
        <w:rPr>
          <w:rtl w:val="0"/>
        </w:rPr>
      </w:r>
    </w:p>
    <w:p w:rsidR="00000000" w:rsidDel="00000000" w:rsidP="00000000" w:rsidRDefault="00000000" w:rsidRPr="00000000" w14:paraId="0000001B">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Insurance claims</w:t>
      </w:r>
    </w:p>
    <w:p w:rsidR="00000000" w:rsidDel="00000000" w:rsidP="00000000" w:rsidRDefault="00000000" w:rsidRPr="00000000" w14:paraId="0000001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rsidR="00000000" w:rsidDel="00000000" w:rsidP="00000000" w:rsidRDefault="00000000" w:rsidRPr="00000000" w14:paraId="0000001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rsidR="00000000" w:rsidDel="00000000" w:rsidP="00000000" w:rsidRDefault="00000000" w:rsidRPr="00000000" w14:paraId="0000001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Insurance requires payment of a premium, the Supplier shall be liable for and shall promptly pay such premium.</w:t>
      </w:r>
    </w:p>
    <w:p w:rsidR="00000000" w:rsidDel="00000000" w:rsidP="00000000" w:rsidRDefault="00000000" w:rsidRPr="00000000" w14:paraId="0000001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20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Del="00000000" w:rsidR="00000000" w:rsidRPr="00000000">
        <w:br w:type="page"/>
      </w: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8"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 REQUIRED INSURANCES</w:t>
      </w:r>
    </w:p>
    <w:p w:rsidR="00000000" w:rsidDel="00000000" w:rsidP="00000000" w:rsidRDefault="00000000" w:rsidRPr="00000000" w14:paraId="00000021">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0"/>
          <w:i w:val="0"/>
          <w:smallCaps w:val="1"/>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hold the following [standard] insurance cover from the Framework Start Date in accordance with this Schedule:</w:t>
      </w:r>
      <w:r w:rsidDel="00000000" w:rsidR="00000000" w:rsidRPr="00000000">
        <w:rPr>
          <w:rtl w:val="0"/>
        </w:rPr>
      </w:r>
    </w:p>
    <w:bookmarkStart w:colFirst="0" w:colLast="0" w:name="bookmark=id.1fob9te" w:id="2"/>
    <w:bookmarkEnd w:id="2"/>
    <w:p w:rsidR="00000000" w:rsidDel="00000000" w:rsidP="00000000" w:rsidRDefault="00000000" w:rsidRPr="00000000" w14:paraId="0000002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highlight w:val="whit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professional indemnity insurance with cover (for a single event or a series of related events and in the aggregate) of not less than </w:t>
      </w:r>
      <w:r w:rsidDel="00000000" w:rsidR="00000000" w:rsidRPr="00000000">
        <w:rPr>
          <w:rFonts w:ascii="Arial" w:cs="Arial" w:eastAsia="Arial" w:hAnsi="Arial"/>
          <w:sz w:val="24"/>
          <w:szCs w:val="24"/>
          <w:highlight w:val="white"/>
          <w:rtl w:val="0"/>
        </w:rPr>
        <w:t xml:space="preserve">five</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 million pounds (£</w:t>
      </w:r>
      <w:r w:rsidDel="00000000" w:rsidR="00000000" w:rsidRPr="00000000">
        <w:rPr>
          <w:rFonts w:ascii="Arial" w:cs="Arial" w:eastAsia="Arial" w:hAnsi="Arial"/>
          <w:sz w:val="24"/>
          <w:szCs w:val="24"/>
          <w:highlight w:val="white"/>
          <w:rtl w:val="0"/>
        </w:rPr>
        <w:t xml:space="preserve">5</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,000,000); </w:t>
      </w:r>
    </w:p>
    <w:p w:rsidR="00000000" w:rsidDel="00000000" w:rsidP="00000000" w:rsidRDefault="00000000" w:rsidRPr="00000000" w14:paraId="0000002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highlight w:val="whit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public liability insurance with cover (for a single event or a series of related events and in the aggregate) of not less than </w:t>
      </w:r>
      <w:r w:rsidDel="00000000" w:rsidR="00000000" w:rsidRPr="00000000">
        <w:rPr>
          <w:rFonts w:ascii="Arial" w:cs="Arial" w:eastAsia="Arial" w:hAnsi="Arial"/>
          <w:sz w:val="24"/>
          <w:szCs w:val="24"/>
          <w:highlight w:val="white"/>
          <w:rtl w:val="0"/>
        </w:rPr>
        <w:t xml:space="preserve">ten </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million pounds (£</w:t>
      </w:r>
      <w:r w:rsidDel="00000000" w:rsidR="00000000" w:rsidRPr="00000000">
        <w:rPr>
          <w:rFonts w:ascii="Arial" w:cs="Arial" w:eastAsia="Arial" w:hAnsi="Arial"/>
          <w:sz w:val="24"/>
          <w:szCs w:val="24"/>
          <w:highlight w:val="white"/>
          <w:rtl w:val="0"/>
        </w:rPr>
        <w:t xml:space="preserve">10</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,000,000); and</w:t>
      </w:r>
    </w:p>
    <w:p w:rsidR="00000000" w:rsidDel="00000000" w:rsidP="00000000" w:rsidRDefault="00000000" w:rsidRPr="00000000" w14:paraId="0000002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highlight w:val="white"/>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employers’ liability insurance with cover (for a single event or a series of related events and in the aggregate) of not less than </w:t>
      </w:r>
      <w:r w:rsidDel="00000000" w:rsidR="00000000" w:rsidRPr="00000000">
        <w:rPr>
          <w:rFonts w:ascii="Arial" w:cs="Arial" w:eastAsia="Arial" w:hAnsi="Arial"/>
          <w:sz w:val="24"/>
          <w:szCs w:val="24"/>
          <w:highlight w:val="white"/>
          <w:rtl w:val="0"/>
        </w:rPr>
        <w:t xml:space="preserve">ten </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million pounds (£</w:t>
      </w:r>
      <w:r w:rsidDel="00000000" w:rsidR="00000000" w:rsidRPr="00000000">
        <w:rPr>
          <w:rFonts w:ascii="Arial" w:cs="Arial" w:eastAsia="Arial" w:hAnsi="Arial"/>
          <w:sz w:val="24"/>
          <w:szCs w:val="24"/>
          <w:highlight w:val="white"/>
          <w:rtl w:val="0"/>
        </w:rPr>
        <w:t xml:space="preserve">10</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,000,000). </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6">
      <w:pPr>
        <w:rPr/>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D">
    <w:pPr>
      <w:tabs>
        <w:tab w:val="center" w:pos="4513"/>
        <w:tab w:val="right"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2E">
    <w:pPr>
      <w:tabs>
        <w:tab w:val="center" w:pos="4513"/>
        <w:tab w:val="right" w:pos="9026"/>
      </w:tabs>
      <w:spacing w:after="0" w:lineRule="auto"/>
      <w:jc w:val="left"/>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bfbfbf"/>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0">
    <w:pPr>
      <w:spacing w:after="0" w:lineRule="auto"/>
      <w:jc w:val="left"/>
      <w:rPr>
        <w:color w:val="bfbfbf"/>
      </w:rPr>
    </w:pPr>
    <w:r w:rsidDel="00000000" w:rsidR="00000000" w:rsidRPr="00000000">
      <w:rPr>
        <w:rFonts w:ascii="Arial" w:cs="Arial" w:eastAsia="Arial" w:hAnsi="Arial"/>
        <w:color w:val="bfbfbf"/>
        <w:sz w:val="20"/>
        <w:szCs w:val="20"/>
        <w:rtl w:val="0"/>
      </w:rPr>
      <w:t xml:space="preserve">Model Version : v3.0</w:t>
      <w:tab/>
      <w:tab/>
      <w:tab/>
      <w:tab/>
      <w:tab/>
      <w:tab/>
      <w:tab/>
      <w:tab/>
      <w:tab/>
    </w:r>
    <w:r w:rsidDel="00000000" w:rsidR="00000000" w:rsidRPr="00000000">
      <w:rPr>
        <w:color w:val="bfbfbf"/>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1">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RM6277</w:t>
      <w:tab/>
      <w:t xml:space="preserve">                                           </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3">
    <w:pPr>
      <w:spacing w:after="0" w:lineRule="auto"/>
      <w:rPr/>
    </w:pPr>
    <w:r w:rsidDel="00000000" w:rsidR="00000000" w:rsidRPr="00000000">
      <w:rPr>
        <w:rFonts w:ascii="Arial" w:cs="Arial" w:eastAsia="Arial" w:hAnsi="Arial"/>
        <w:sz w:val="20"/>
        <w:szCs w:val="20"/>
        <w:rtl w:val="0"/>
      </w:rPr>
      <w:t xml:space="preserve">Model Version: v3.1</w:t>
      <w:tab/>
      <w:tab/>
      <w:tab/>
      <w:tab/>
      <w:tab/>
      <w:tab/>
      <w:tab/>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bfbfbf"/>
        <w:sz w:val="20"/>
        <w:szCs w:val="20"/>
        <w:u w:val="none"/>
        <w:shd w:fill="auto" w:val="clear"/>
        <w:vertAlign w:val="baseline"/>
      </w:rPr>
    </w:pPr>
    <w:r w:rsidDel="00000000" w:rsidR="00000000" w:rsidRPr="00000000">
      <w:rPr>
        <w:rFonts w:ascii="Arial" w:cs="Arial" w:eastAsia="Arial" w:hAnsi="Arial"/>
        <w:b w:val="1"/>
        <w:i w:val="0"/>
        <w:smallCaps w:val="0"/>
        <w:strike w:val="0"/>
        <w:color w:val="bfbfbf"/>
        <w:sz w:val="20"/>
        <w:szCs w:val="20"/>
        <w:u w:val="none"/>
        <w:shd w:fill="auto" w:val="clear"/>
        <w:vertAlign w:val="baseline"/>
        <w:rtl w:val="0"/>
      </w:rPr>
      <w:t xml:space="preserve">Joint Schedule 3 (Insurance Requirements)</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Crown Copyright </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3 (Insurance Requirements)</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54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391"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abstractNum w:abstractNumId="2">
    <w:lvl w:ilvl="0">
      <w:start w:val="1"/>
      <w:numFmt w:val="decimal"/>
      <w:lvlText w:val="%1."/>
      <w:lvlJc w:val="left"/>
      <w:pPr>
        <w:ind w:left="54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391"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overflowPunct w:val="1"/>
      <w:autoSpaceDE w:val="1"/>
      <w:autoSpaceDN w:val="1"/>
      <w:spacing w:after="120" w:before="120"/>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tabs>
        <w:tab w:val="clear" w:pos="142"/>
      </w:tabs>
      <w:ind w:left="360"/>
      <w:outlineLvl w:val="9"/>
    </w:p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CommentReference">
    <w:name w:val="annotation reference"/>
    <w:basedOn w:val="DefaultParagraphFont"/>
    <w:unhideWhenUsed w:val="1"/>
    <w:rPr>
      <w:sz w:val="16"/>
      <w:szCs w:val="16"/>
    </w:rPr>
  </w:style>
  <w:style w:type="paragraph" w:styleId="CommentText">
    <w:name w:val="annotation text"/>
    <w:basedOn w:val="Normal"/>
    <w:link w:val="CommentTextChar"/>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11table" w:customStyle="1">
    <w:name w:val="1.1 table"/>
    <w:basedOn w:val="Normal"/>
    <w:qFormat w:val="1"/>
    <w:pPr>
      <w:numPr>
        <w:numId w:val="28"/>
      </w:numPr>
      <w:overflowPunct w:val="1"/>
      <w:autoSpaceDE w:val="1"/>
      <w:adjustRightInd w:val="1"/>
      <w:spacing w:after="0"/>
      <w:jc w:val="left"/>
      <w:textAlignment w:val="auto"/>
    </w:pPr>
    <w:rPr>
      <w:rFonts w:cs="Times New Roman" w:eastAsia="STZhongsong"/>
      <w:b w:val="1"/>
      <w:lang w:eastAsia="zh-CN"/>
    </w:rPr>
  </w:style>
  <w:style w:type="numbering" w:styleId="LFO9" w:customStyle="1">
    <w:name w:val="LFO9"/>
    <w:basedOn w:val="NoList"/>
    <w:pPr>
      <w:numPr>
        <w:numId w:val="28"/>
      </w:numPr>
    </w:pPr>
  </w:style>
  <w:style w:type="paragraph" w:styleId="Revision">
    <w:name w:val="Revision"/>
    <w:hidden w:val="1"/>
    <w:uiPriority w:val="99"/>
    <w:semiHidden w:val="1"/>
    <w:pPr>
      <w:spacing w:after="0" w:line="240" w:lineRule="auto"/>
    </w:pPr>
    <w:rPr>
      <w:rFonts w:ascii="Calibri" w:cs="Arial" w:eastAsia="Times New Roman" w:hAnsi="Calibri"/>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5e50q+hCZezHUGVwIi3rlWUKLUQ==">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2018-06-22T14:55:00Z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